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0921E9">
        <w:rPr>
          <w:rFonts w:ascii="Palatino Linotype" w:hAnsi="Palatino Linotype" w:cs="Arial"/>
          <w:b/>
          <w:bCs/>
          <w:sz w:val="23"/>
          <w:szCs w:val="23"/>
        </w:rPr>
        <w:t>4</w:t>
      </w:r>
      <w:r w:rsidR="00BD63E7">
        <w:rPr>
          <w:rFonts w:ascii="Palatino Linotype" w:hAnsi="Palatino Linotype" w:cs="Arial"/>
          <w:b/>
          <w:bCs/>
          <w:sz w:val="23"/>
          <w:szCs w:val="23"/>
        </w:rPr>
        <w:t>057</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7777F1" w:rsidRPr="007777F1" w:rsidRDefault="00E6179D">
          <w:pPr>
            <w:pStyle w:val="TDC1"/>
            <w:rPr>
              <w:rFonts w:eastAsiaTheme="minorEastAsia"/>
              <w:b w:val="0"/>
              <w:sz w:val="24"/>
              <w:szCs w:val="24"/>
              <w:lang w:eastAsia="es-MX"/>
            </w:rPr>
          </w:pPr>
          <w:r w:rsidRPr="007777F1">
            <w:rPr>
              <w:sz w:val="24"/>
              <w:szCs w:val="24"/>
            </w:rPr>
            <w:fldChar w:fldCharType="begin"/>
          </w:r>
          <w:r w:rsidRPr="007777F1">
            <w:rPr>
              <w:sz w:val="24"/>
              <w:szCs w:val="24"/>
            </w:rPr>
            <w:instrText xml:space="preserve"> TOC \o "1-3" \h \z \u </w:instrText>
          </w:r>
          <w:r w:rsidRPr="007777F1">
            <w:rPr>
              <w:sz w:val="24"/>
              <w:szCs w:val="24"/>
            </w:rPr>
            <w:fldChar w:fldCharType="separate"/>
          </w:r>
          <w:hyperlink w:anchor="_Toc535584509" w:history="1">
            <w:r w:rsidR="007777F1" w:rsidRPr="007777F1">
              <w:rPr>
                <w:rStyle w:val="Hipervnculo"/>
                <w:rFonts w:eastAsia="Times New Roman"/>
                <w:sz w:val="24"/>
                <w:szCs w:val="24"/>
              </w:rPr>
              <w:t>I.</w:t>
            </w:r>
            <w:r w:rsidR="007777F1" w:rsidRPr="007777F1">
              <w:rPr>
                <w:rFonts w:eastAsiaTheme="minorEastAsia"/>
                <w:b w:val="0"/>
                <w:sz w:val="24"/>
                <w:szCs w:val="24"/>
                <w:lang w:eastAsia="es-MX"/>
              </w:rPr>
              <w:tab/>
            </w:r>
            <w:r w:rsidR="007777F1" w:rsidRPr="007777F1">
              <w:rPr>
                <w:rStyle w:val="Hipervnculo"/>
                <w:rFonts w:eastAsia="Times New Roman"/>
                <w:sz w:val="24"/>
                <w:szCs w:val="24"/>
              </w:rPr>
              <w:t>Consideraciones Generales</w:t>
            </w:r>
            <w:r w:rsidR="007777F1" w:rsidRPr="007777F1">
              <w:rPr>
                <w:webHidden/>
                <w:sz w:val="24"/>
                <w:szCs w:val="24"/>
              </w:rPr>
              <w:tab/>
            </w:r>
            <w:r w:rsidR="007777F1" w:rsidRPr="007777F1">
              <w:rPr>
                <w:webHidden/>
                <w:sz w:val="24"/>
                <w:szCs w:val="24"/>
              </w:rPr>
              <w:fldChar w:fldCharType="begin"/>
            </w:r>
            <w:r w:rsidR="007777F1" w:rsidRPr="007777F1">
              <w:rPr>
                <w:webHidden/>
                <w:sz w:val="24"/>
                <w:szCs w:val="24"/>
              </w:rPr>
              <w:instrText xml:space="preserve"> PAGEREF _Toc535584509 \h </w:instrText>
            </w:r>
            <w:r w:rsidR="007777F1" w:rsidRPr="007777F1">
              <w:rPr>
                <w:webHidden/>
                <w:sz w:val="24"/>
                <w:szCs w:val="24"/>
              </w:rPr>
            </w:r>
            <w:r w:rsidR="007777F1" w:rsidRPr="007777F1">
              <w:rPr>
                <w:webHidden/>
                <w:sz w:val="24"/>
                <w:szCs w:val="24"/>
              </w:rPr>
              <w:fldChar w:fldCharType="separate"/>
            </w:r>
            <w:r w:rsidR="002650C2">
              <w:rPr>
                <w:webHidden/>
                <w:sz w:val="24"/>
                <w:szCs w:val="24"/>
              </w:rPr>
              <w:t>1</w:t>
            </w:r>
            <w:r w:rsidR="007777F1" w:rsidRPr="007777F1">
              <w:rPr>
                <w:webHidden/>
                <w:sz w:val="24"/>
                <w:szCs w:val="24"/>
              </w:rPr>
              <w:fldChar w:fldCharType="end"/>
            </w:r>
          </w:hyperlink>
        </w:p>
        <w:p w:rsidR="007777F1" w:rsidRPr="007777F1" w:rsidRDefault="000D3EE5">
          <w:pPr>
            <w:pStyle w:val="TDC1"/>
            <w:rPr>
              <w:rFonts w:eastAsiaTheme="minorEastAsia"/>
              <w:b w:val="0"/>
              <w:sz w:val="24"/>
              <w:szCs w:val="24"/>
              <w:lang w:eastAsia="es-MX"/>
            </w:rPr>
          </w:pPr>
          <w:hyperlink w:anchor="_Toc535584510" w:history="1">
            <w:r w:rsidR="007777F1" w:rsidRPr="007777F1">
              <w:rPr>
                <w:rStyle w:val="Hipervnculo"/>
                <w:rFonts w:eastAsia="Calibri"/>
                <w:sz w:val="24"/>
                <w:szCs w:val="24"/>
                <w:lang w:val="es-ES"/>
              </w:rPr>
              <w:t>II.</w:t>
            </w:r>
            <w:r w:rsidR="007777F1" w:rsidRPr="007777F1">
              <w:rPr>
                <w:rFonts w:eastAsiaTheme="minorEastAsia"/>
                <w:b w:val="0"/>
                <w:sz w:val="24"/>
                <w:szCs w:val="24"/>
                <w:lang w:eastAsia="es-MX"/>
              </w:rPr>
              <w:tab/>
            </w:r>
            <w:r w:rsidR="007777F1" w:rsidRPr="007777F1">
              <w:rPr>
                <w:rStyle w:val="Hipervnculo"/>
                <w:rFonts w:eastAsia="Calibri"/>
                <w:sz w:val="24"/>
                <w:szCs w:val="24"/>
                <w:lang w:val="es-ES"/>
              </w:rPr>
              <w:t>De los requerimientos planteados en el recurso de revisión.</w:t>
            </w:r>
            <w:r w:rsidR="007777F1" w:rsidRPr="007777F1">
              <w:rPr>
                <w:webHidden/>
                <w:sz w:val="24"/>
                <w:szCs w:val="24"/>
              </w:rPr>
              <w:tab/>
            </w:r>
            <w:r w:rsidR="007777F1" w:rsidRPr="007777F1">
              <w:rPr>
                <w:webHidden/>
                <w:sz w:val="24"/>
                <w:szCs w:val="24"/>
              </w:rPr>
              <w:fldChar w:fldCharType="begin"/>
            </w:r>
            <w:r w:rsidR="007777F1" w:rsidRPr="007777F1">
              <w:rPr>
                <w:webHidden/>
                <w:sz w:val="24"/>
                <w:szCs w:val="24"/>
              </w:rPr>
              <w:instrText xml:space="preserve"> PAGEREF _Toc535584510 \h </w:instrText>
            </w:r>
            <w:r w:rsidR="007777F1" w:rsidRPr="007777F1">
              <w:rPr>
                <w:webHidden/>
                <w:sz w:val="24"/>
                <w:szCs w:val="24"/>
              </w:rPr>
            </w:r>
            <w:r w:rsidR="007777F1" w:rsidRPr="007777F1">
              <w:rPr>
                <w:webHidden/>
                <w:sz w:val="24"/>
                <w:szCs w:val="24"/>
              </w:rPr>
              <w:fldChar w:fldCharType="separate"/>
            </w:r>
            <w:r w:rsidR="002650C2">
              <w:rPr>
                <w:webHidden/>
                <w:sz w:val="24"/>
                <w:szCs w:val="24"/>
              </w:rPr>
              <w:t>2</w:t>
            </w:r>
            <w:r w:rsidR="007777F1" w:rsidRPr="007777F1">
              <w:rPr>
                <w:webHidden/>
                <w:sz w:val="24"/>
                <w:szCs w:val="24"/>
              </w:rPr>
              <w:fldChar w:fldCharType="end"/>
            </w:r>
          </w:hyperlink>
        </w:p>
        <w:p w:rsidR="007777F1" w:rsidRPr="007777F1" w:rsidRDefault="000D3EE5">
          <w:pPr>
            <w:pStyle w:val="TDC2"/>
            <w:rPr>
              <w:rFonts w:ascii="Palatino Linotype" w:eastAsiaTheme="minorEastAsia" w:hAnsi="Palatino Linotype"/>
              <w:noProof/>
              <w:sz w:val="24"/>
              <w:szCs w:val="24"/>
              <w:lang w:eastAsia="es-MX"/>
            </w:rPr>
          </w:pPr>
          <w:hyperlink w:anchor="_Toc535584511" w:history="1">
            <w:r w:rsidR="007777F1" w:rsidRPr="007777F1">
              <w:rPr>
                <w:rStyle w:val="Hipervnculo"/>
                <w:rFonts w:ascii="Palatino Linotype" w:hAnsi="Palatino Linotype"/>
                <w:b/>
                <w:noProof/>
                <w:sz w:val="24"/>
                <w:szCs w:val="24"/>
              </w:rPr>
              <w:t>III. Del Derecho de Acceso a la información pública y el deber de motivar.</w:t>
            </w:r>
            <w:r w:rsidR="007777F1" w:rsidRPr="007777F1">
              <w:rPr>
                <w:rFonts w:ascii="Palatino Linotype" w:hAnsi="Palatino Linotype"/>
                <w:noProof/>
                <w:webHidden/>
                <w:sz w:val="24"/>
                <w:szCs w:val="24"/>
              </w:rPr>
              <w:tab/>
            </w:r>
            <w:r w:rsidR="007777F1" w:rsidRPr="007777F1">
              <w:rPr>
                <w:rFonts w:ascii="Palatino Linotype" w:hAnsi="Palatino Linotype"/>
                <w:noProof/>
                <w:webHidden/>
                <w:sz w:val="24"/>
                <w:szCs w:val="24"/>
              </w:rPr>
              <w:fldChar w:fldCharType="begin"/>
            </w:r>
            <w:r w:rsidR="007777F1" w:rsidRPr="007777F1">
              <w:rPr>
                <w:rFonts w:ascii="Palatino Linotype" w:hAnsi="Palatino Linotype"/>
                <w:noProof/>
                <w:webHidden/>
                <w:sz w:val="24"/>
                <w:szCs w:val="24"/>
              </w:rPr>
              <w:instrText xml:space="preserve"> PAGEREF _Toc535584511 \h </w:instrText>
            </w:r>
            <w:r w:rsidR="007777F1" w:rsidRPr="007777F1">
              <w:rPr>
                <w:rFonts w:ascii="Palatino Linotype" w:hAnsi="Palatino Linotype"/>
                <w:noProof/>
                <w:webHidden/>
                <w:sz w:val="24"/>
                <w:szCs w:val="24"/>
              </w:rPr>
            </w:r>
            <w:r w:rsidR="007777F1" w:rsidRPr="007777F1">
              <w:rPr>
                <w:rFonts w:ascii="Palatino Linotype" w:hAnsi="Palatino Linotype"/>
                <w:noProof/>
                <w:webHidden/>
                <w:sz w:val="24"/>
                <w:szCs w:val="24"/>
              </w:rPr>
              <w:fldChar w:fldCharType="separate"/>
            </w:r>
            <w:r w:rsidR="002650C2">
              <w:rPr>
                <w:rFonts w:ascii="Palatino Linotype" w:hAnsi="Palatino Linotype"/>
                <w:noProof/>
                <w:webHidden/>
                <w:sz w:val="24"/>
                <w:szCs w:val="24"/>
              </w:rPr>
              <w:t>6</w:t>
            </w:r>
            <w:r w:rsidR="007777F1" w:rsidRPr="007777F1">
              <w:rPr>
                <w:rFonts w:ascii="Palatino Linotype" w:hAnsi="Palatino Linotype"/>
                <w:noProof/>
                <w:webHidden/>
                <w:sz w:val="24"/>
                <w:szCs w:val="24"/>
              </w:rPr>
              <w:fldChar w:fldCharType="end"/>
            </w:r>
          </w:hyperlink>
        </w:p>
        <w:p w:rsidR="007777F1" w:rsidRPr="007777F1" w:rsidRDefault="000D3EE5">
          <w:pPr>
            <w:pStyle w:val="TDC1"/>
            <w:rPr>
              <w:rFonts w:eastAsiaTheme="minorEastAsia"/>
              <w:b w:val="0"/>
              <w:sz w:val="24"/>
              <w:szCs w:val="24"/>
              <w:lang w:eastAsia="es-MX"/>
            </w:rPr>
          </w:pPr>
          <w:hyperlink w:anchor="_Toc535584512" w:history="1">
            <w:r w:rsidR="007777F1" w:rsidRPr="007777F1">
              <w:rPr>
                <w:rStyle w:val="Hipervnculo"/>
                <w:rFonts w:eastAsia="Calibri"/>
                <w:sz w:val="24"/>
                <w:szCs w:val="24"/>
              </w:rPr>
              <w:t>IV. Del Pronunciamiento simple</w:t>
            </w:r>
            <w:r w:rsidR="007777F1" w:rsidRPr="007777F1">
              <w:rPr>
                <w:webHidden/>
                <w:sz w:val="24"/>
                <w:szCs w:val="24"/>
              </w:rPr>
              <w:tab/>
            </w:r>
            <w:r w:rsidR="007777F1" w:rsidRPr="007777F1">
              <w:rPr>
                <w:webHidden/>
                <w:sz w:val="24"/>
                <w:szCs w:val="24"/>
              </w:rPr>
              <w:fldChar w:fldCharType="begin"/>
            </w:r>
            <w:r w:rsidR="007777F1" w:rsidRPr="007777F1">
              <w:rPr>
                <w:webHidden/>
                <w:sz w:val="24"/>
                <w:szCs w:val="24"/>
              </w:rPr>
              <w:instrText xml:space="preserve"> PAGEREF _Toc535584512 \h </w:instrText>
            </w:r>
            <w:r w:rsidR="007777F1" w:rsidRPr="007777F1">
              <w:rPr>
                <w:webHidden/>
                <w:sz w:val="24"/>
                <w:szCs w:val="24"/>
              </w:rPr>
            </w:r>
            <w:r w:rsidR="007777F1" w:rsidRPr="007777F1">
              <w:rPr>
                <w:webHidden/>
                <w:sz w:val="24"/>
                <w:szCs w:val="24"/>
              </w:rPr>
              <w:fldChar w:fldCharType="separate"/>
            </w:r>
            <w:r w:rsidR="002650C2">
              <w:rPr>
                <w:webHidden/>
                <w:sz w:val="24"/>
                <w:szCs w:val="24"/>
              </w:rPr>
              <w:t>11</w:t>
            </w:r>
            <w:r w:rsidR="007777F1" w:rsidRPr="007777F1">
              <w:rPr>
                <w:webHidden/>
                <w:sz w:val="24"/>
                <w:szCs w:val="24"/>
              </w:rPr>
              <w:fldChar w:fldCharType="end"/>
            </w:r>
          </w:hyperlink>
        </w:p>
        <w:p w:rsidR="007777F1" w:rsidRPr="007777F1" w:rsidRDefault="000D3EE5">
          <w:pPr>
            <w:pStyle w:val="TDC1"/>
            <w:rPr>
              <w:rFonts w:eastAsiaTheme="minorEastAsia"/>
              <w:b w:val="0"/>
              <w:sz w:val="24"/>
              <w:szCs w:val="24"/>
              <w:lang w:eastAsia="es-MX"/>
            </w:rPr>
          </w:pPr>
          <w:hyperlink w:anchor="_Toc535584513" w:history="1">
            <w:r w:rsidR="007777F1" w:rsidRPr="007777F1">
              <w:rPr>
                <w:rStyle w:val="Hipervnculo"/>
                <w:rFonts w:eastAsia="Calibri"/>
                <w:sz w:val="24"/>
                <w:szCs w:val="24"/>
              </w:rPr>
              <w:t>V. Conclusión.</w:t>
            </w:r>
            <w:r w:rsidR="007777F1" w:rsidRPr="007777F1">
              <w:rPr>
                <w:webHidden/>
                <w:sz w:val="24"/>
                <w:szCs w:val="24"/>
              </w:rPr>
              <w:tab/>
            </w:r>
            <w:r w:rsidR="007777F1" w:rsidRPr="007777F1">
              <w:rPr>
                <w:webHidden/>
                <w:sz w:val="24"/>
                <w:szCs w:val="24"/>
              </w:rPr>
              <w:fldChar w:fldCharType="begin"/>
            </w:r>
            <w:r w:rsidR="007777F1" w:rsidRPr="007777F1">
              <w:rPr>
                <w:webHidden/>
                <w:sz w:val="24"/>
                <w:szCs w:val="24"/>
              </w:rPr>
              <w:instrText xml:space="preserve"> PAGEREF _Toc535584513 \h </w:instrText>
            </w:r>
            <w:r w:rsidR="007777F1" w:rsidRPr="007777F1">
              <w:rPr>
                <w:webHidden/>
                <w:sz w:val="24"/>
                <w:szCs w:val="24"/>
              </w:rPr>
            </w:r>
            <w:r w:rsidR="007777F1" w:rsidRPr="007777F1">
              <w:rPr>
                <w:webHidden/>
                <w:sz w:val="24"/>
                <w:szCs w:val="24"/>
              </w:rPr>
              <w:fldChar w:fldCharType="separate"/>
            </w:r>
            <w:r w:rsidR="002650C2">
              <w:rPr>
                <w:webHidden/>
                <w:sz w:val="24"/>
                <w:szCs w:val="24"/>
              </w:rPr>
              <w:t>29</w:t>
            </w:r>
            <w:r w:rsidR="007777F1" w:rsidRPr="007777F1">
              <w:rPr>
                <w:webHidden/>
                <w:sz w:val="24"/>
                <w:szCs w:val="24"/>
              </w:rPr>
              <w:fldChar w:fldCharType="end"/>
            </w:r>
          </w:hyperlink>
        </w:p>
        <w:p w:rsidR="00E6179D" w:rsidRPr="00256E57" w:rsidRDefault="00E6179D" w:rsidP="00B73B30">
          <w:pPr>
            <w:spacing w:line="360" w:lineRule="auto"/>
            <w:rPr>
              <w:rFonts w:ascii="Palatino Linotype" w:hAnsi="Palatino Linotype"/>
              <w:b/>
              <w:sz w:val="24"/>
              <w:szCs w:val="24"/>
            </w:rPr>
          </w:pPr>
          <w:r w:rsidRPr="007777F1">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58450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D63E7">
        <w:rPr>
          <w:rFonts w:ascii="Palatino Linotype" w:eastAsia="Calibri" w:hAnsi="Palatino Linotype" w:cs="Arial"/>
          <w:sz w:val="24"/>
          <w:szCs w:val="24"/>
        </w:rPr>
        <w:t>Segunda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BD63E7">
        <w:rPr>
          <w:rFonts w:ascii="Palatino Linotype" w:eastAsia="Calibri" w:hAnsi="Palatino Linotype" w:cs="Arial"/>
          <w:sz w:val="24"/>
          <w:szCs w:val="24"/>
        </w:rPr>
        <w:t>dieciséis</w:t>
      </w:r>
      <w:r w:rsidRPr="00F44EAA">
        <w:rPr>
          <w:rFonts w:ascii="Palatino Linotype" w:eastAsia="Calibri" w:hAnsi="Palatino Linotype" w:cs="Arial"/>
          <w:sz w:val="24"/>
          <w:szCs w:val="24"/>
        </w:rPr>
        <w:t xml:space="preserve"> (</w:t>
      </w:r>
      <w:r w:rsidR="00BD63E7">
        <w:rPr>
          <w:rFonts w:ascii="Palatino Linotype" w:eastAsia="Calibri" w:hAnsi="Palatino Linotype" w:cs="Arial"/>
          <w:sz w:val="24"/>
          <w:szCs w:val="24"/>
        </w:rPr>
        <w:t>16</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lastRenderedPageBreak/>
        <w:t xml:space="preserve">recurso </w:t>
      </w:r>
      <w:r w:rsidRPr="00427B79">
        <w:rPr>
          <w:rFonts w:ascii="Palatino Linotype" w:eastAsia="Calibri" w:hAnsi="Palatino Linotype" w:cs="Arial"/>
          <w:sz w:val="24"/>
          <w:szCs w:val="24"/>
        </w:rPr>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BD63E7" w:rsidRPr="00BD63E7">
        <w:rPr>
          <w:rFonts w:ascii="Palatino Linotype" w:hAnsi="Palatino Linotype"/>
          <w:b/>
        </w:rPr>
        <w:t xml:space="preserve"> </w:t>
      </w:r>
      <w:r w:rsidR="00BD63E7" w:rsidRPr="00BD63E7">
        <w:rPr>
          <w:rFonts w:ascii="Palatino Linotype" w:hAnsi="Palatino Linotype"/>
          <w:b/>
          <w:sz w:val="24"/>
          <w:szCs w:val="24"/>
        </w:rPr>
        <w:t>Ayuntamie</w:t>
      </w:r>
      <w:bookmarkStart w:id="1" w:name="_GoBack"/>
      <w:bookmarkEnd w:id="1"/>
      <w:r w:rsidR="00BD63E7" w:rsidRPr="00BD63E7">
        <w:rPr>
          <w:rFonts w:ascii="Palatino Linotype" w:hAnsi="Palatino Linotype"/>
          <w:b/>
          <w:sz w:val="24"/>
          <w:szCs w:val="24"/>
        </w:rPr>
        <w:t>nto de Toluca</w:t>
      </w:r>
      <w:r w:rsidR="000921E9" w:rsidRPr="000520E0">
        <w:rPr>
          <w:rFonts w:ascii="Palatino Linotype" w:hAnsi="Palatino Linotype" w:cs="Arial"/>
        </w:rPr>
        <w:t>,</w:t>
      </w:r>
      <w:r w:rsidR="000921E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BD63E7">
        <w:rPr>
          <w:rFonts w:ascii="Palatino Linotype" w:hAnsi="Palatino Linotype" w:cs="Arial"/>
          <w:b/>
          <w:bCs/>
          <w:sz w:val="23"/>
          <w:szCs w:val="23"/>
        </w:rPr>
        <w:t>4057</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BD63E7">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5584510"/>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BD63E7" w:rsidRPr="00BD63E7" w:rsidRDefault="00E6179D" w:rsidP="00BD63E7">
      <w:pPr>
        <w:spacing w:before="120" w:after="120" w:line="360" w:lineRule="auto"/>
        <w:ind w:left="851" w:right="899"/>
        <w:jc w:val="both"/>
        <w:rPr>
          <w:rFonts w:ascii="Palatino Linotype" w:hAnsi="Palatino Linotype"/>
          <w:sz w:val="24"/>
          <w:szCs w:val="24"/>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BD63E7" w:rsidRPr="00BD63E7">
        <w:rPr>
          <w:rFonts w:ascii="Palatino Linotype" w:hAnsi="Palatino Linotype"/>
          <w:b/>
        </w:rPr>
        <w:t xml:space="preserve"> </w:t>
      </w:r>
      <w:r w:rsidR="00BD63E7" w:rsidRPr="00BD63E7">
        <w:rPr>
          <w:rFonts w:ascii="Palatino Linotype" w:hAnsi="Palatino Linotype"/>
          <w:b/>
          <w:sz w:val="24"/>
          <w:szCs w:val="24"/>
        </w:rPr>
        <w:t>Ayuntamiento de Toluca</w:t>
      </w:r>
      <w:r w:rsidR="00436541" w:rsidRPr="00BD63E7">
        <w:rPr>
          <w:rFonts w:ascii="Palatino Linotype" w:hAnsi="Palatino Linotype" w:cs="Arial"/>
          <w:b/>
          <w:sz w:val="24"/>
          <w:szCs w:val="24"/>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BD63E7" w:rsidRPr="00BD63E7">
        <w:rPr>
          <w:rFonts w:ascii="Palatino Linotype" w:hAnsi="Palatino Linotype" w:cs="Arial"/>
          <w:i/>
        </w:rPr>
        <w:t xml:space="preserve"> </w:t>
      </w:r>
      <w:r w:rsidR="00BD63E7" w:rsidRPr="00BD63E7">
        <w:rPr>
          <w:rFonts w:ascii="Palatino Linotype" w:hAnsi="Palatino Linotype" w:cs="Arial"/>
          <w:i/>
          <w:sz w:val="24"/>
          <w:szCs w:val="24"/>
        </w:rPr>
        <w:t xml:space="preserve">“en Atencion a que es la segunda vez que se descubre que el director de administración esta haciendo compras con licitaciones direccionadas que </w:t>
      </w:r>
      <w:r w:rsidR="00BD63E7" w:rsidRPr="00BD63E7">
        <w:rPr>
          <w:rFonts w:ascii="Palatino Linotype" w:hAnsi="Palatino Linotype" w:cs="Arial"/>
          <w:i/>
          <w:sz w:val="24"/>
          <w:szCs w:val="24"/>
        </w:rPr>
        <w:lastRenderedPageBreak/>
        <w:t xml:space="preserve">terminan con sobre precios , se le requiere las facturas, estudios de mercado , autorización del cabildo para la compra y requerimiento del area usuaria de todas las compras que ha realizado desde que llego a la fecha mayores a 200 mil pesos y requiero que se suban todas estas a el portal del municipio y que cumpla con sus obligaciones de transparencia con maxima publicidad , se requiere todos los funcionarios del municipio y cabildo el numero de su cédula profesional / se solicita la revision de bases que realizo la contraloria interna de todos los solicitados por mas de 200 mil pesos / curriculum de la contralora o contralor con sus documentos que lo soportan asi como de todos los miembros síndicos y regidores asi como las autorizaciones de estos para estas compras y actos cínicos de corrupción / al contralor del estado se le requiere las acciones preventivas y correctivas ante estas cínicas licitaciones direccionadas y compras son sobre precios sobre las denuncias que a recibió al respecto .” </w:t>
      </w:r>
      <w:r w:rsidR="00BD63E7" w:rsidRPr="00BD63E7">
        <w:rPr>
          <w:rFonts w:ascii="Palatino Linotype" w:hAnsi="Palatino Linotype"/>
          <w:sz w:val="24"/>
          <w:szCs w:val="24"/>
        </w:rPr>
        <w:t>(Sic).</w:t>
      </w:r>
    </w:p>
    <w:p w:rsidR="000921E9" w:rsidRPr="00BD63E7" w:rsidRDefault="006F081D" w:rsidP="00BD63E7">
      <w:pPr>
        <w:autoSpaceDE w:val="0"/>
        <w:autoSpaceDN w:val="0"/>
        <w:adjustRightInd w:val="0"/>
        <w:spacing w:line="360" w:lineRule="auto"/>
        <w:ind w:left="851" w:right="900"/>
        <w:jc w:val="both"/>
        <w:rPr>
          <w:rFonts w:ascii="Palatino Linotype" w:hAnsi="Palatino Linotype" w:cs="Arial"/>
          <w:i/>
          <w:sz w:val="24"/>
          <w:szCs w:val="24"/>
        </w:rPr>
      </w:pPr>
      <w:r w:rsidRPr="00BD63E7">
        <w:rPr>
          <w:rFonts w:ascii="Palatino Linotype" w:hAnsi="Palatino Linotype"/>
          <w:i/>
          <w:sz w:val="24"/>
          <w:szCs w:val="24"/>
          <w:lang w:val="es-ES_tradnl"/>
        </w:rPr>
        <w:t xml:space="preserve"> </w:t>
      </w:r>
    </w:p>
    <w:p w:rsidR="0016671B" w:rsidRPr="000921E9" w:rsidRDefault="0016671B" w:rsidP="0016671B">
      <w:pPr>
        <w:autoSpaceDE w:val="0"/>
        <w:autoSpaceDN w:val="0"/>
        <w:adjustRightInd w:val="0"/>
        <w:ind w:left="992" w:right="1043"/>
        <w:jc w:val="both"/>
        <w:rPr>
          <w:rFonts w:ascii="Palatino Linotype" w:eastAsia="Times New Roman" w:hAnsi="Palatino Linotype" w:cs="Arial"/>
          <w:i/>
          <w:lang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BD63E7" w:rsidRPr="00BD63E7">
        <w:rPr>
          <w:rFonts w:ascii="Palatino Linotype" w:hAnsi="Palatino Linotype"/>
          <w:b/>
          <w:sz w:val="24"/>
          <w:szCs w:val="24"/>
        </w:rPr>
        <w:t xml:space="preserve"> Ayuntamiento de Toluca</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F44EA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lastRenderedPageBreak/>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BD63E7" w:rsidRPr="00BD63E7">
        <w:rPr>
          <w:rFonts w:ascii="Palatino Linotype" w:hAnsi="Palatino Linotype"/>
          <w:b/>
          <w:sz w:val="24"/>
          <w:szCs w:val="24"/>
        </w:rPr>
        <w:t>Ayuntamiento de Toluca</w:t>
      </w:r>
      <w:r w:rsidR="00720D2F" w:rsidRPr="00720D2F">
        <w:rPr>
          <w:rFonts w:ascii="Palatino Linotype" w:hAnsi="Palatino Linotype"/>
          <w:b/>
        </w:rPr>
        <w:t xml:space="preserve"> </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“a) Los Estudios de Mercado y las facturas de la compras superiores a $200,000.00 (Dos cientos mil pesos 00/100 M.N.) durante el periodo comprendido del 16 de enero 2016 al 27 de septiembre 2018.</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b) Las cédulas profesionales o el documento o documentos en donde conste el número de cédulas profesionales del personal adscrito al 27 de septiembre de 2018.</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Respecto de los servidores públicos que no obren los documentos que se ordenan deberá de referirlo.</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c) El documento o documentos donde conste la revisión de bases por parte de la Contraloría Interna Municipal de las compras superiores a $200,000.00 (Dos cientos mil pesos 00/100 M.N.) durante el periodo comprendido del 16 de enero 2016 al 27 de septiembre 2018. Para el caso de que no obre en sus archivos, deberá informarlo al respecto.</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d) Los documentos que avalen la trayectoria laboral y académica referida en los currículums del Contralor Interno Municipal y los integrantes del Ayuntamiento de Toluca. Para el caso de no obrar en sus archivos, deberá referirlo al particular al dar cumplimiento a la presente.</w:t>
      </w:r>
    </w:p>
    <w:p w:rsidR="00BD63E7" w:rsidRPr="00BD63E7" w:rsidRDefault="00BD63E7" w:rsidP="00BD63E7">
      <w:pPr>
        <w:pStyle w:val="Prrafodelista"/>
        <w:spacing w:line="360" w:lineRule="auto"/>
        <w:ind w:left="360" w:right="899"/>
        <w:jc w:val="both"/>
        <w:rPr>
          <w:rFonts w:ascii="Palatino Linotype" w:hAnsi="Palatino Linotype" w:cs="Arial"/>
          <w:i/>
          <w:sz w:val="24"/>
          <w:szCs w:val="24"/>
        </w:rPr>
      </w:pPr>
    </w:p>
    <w:p w:rsidR="00BD63E7" w:rsidRPr="00BD63E7" w:rsidRDefault="00BD63E7" w:rsidP="00BD63E7">
      <w:pPr>
        <w:pStyle w:val="Prrafodelista"/>
        <w:spacing w:line="360" w:lineRule="auto"/>
        <w:ind w:left="360" w:right="899"/>
        <w:jc w:val="both"/>
        <w:rPr>
          <w:rFonts w:ascii="Palatino Linotype" w:hAnsi="Palatino Linotype"/>
          <w:bCs/>
          <w:i/>
          <w:sz w:val="24"/>
          <w:szCs w:val="24"/>
        </w:rPr>
      </w:pPr>
      <w:r w:rsidRPr="00BD63E7">
        <w:rPr>
          <w:rFonts w:ascii="Palatino Linotype" w:hAnsi="Palatino Linotype" w:cs="Arial"/>
          <w:i/>
          <w:iCs/>
          <w:color w:val="222222"/>
          <w:sz w:val="24"/>
          <w:szCs w:val="24"/>
        </w:rPr>
        <w:lastRenderedPageBreak/>
        <w:t xml:space="preserve">Debiendo notificar al </w:t>
      </w:r>
      <w:r w:rsidRPr="00BD63E7">
        <w:rPr>
          <w:rFonts w:ascii="Palatino Linotype" w:hAnsi="Palatino Linotype" w:cs="Arial"/>
          <w:b/>
          <w:bCs/>
          <w:i/>
          <w:iCs/>
          <w:color w:val="222222"/>
          <w:sz w:val="24"/>
          <w:szCs w:val="24"/>
        </w:rPr>
        <w:t> RECURRENTE</w:t>
      </w:r>
      <w:r w:rsidRPr="00BD63E7">
        <w:rPr>
          <w:rFonts w:ascii="Palatino Linotype" w:hAnsi="Palatino Linotype" w:cs="Arial"/>
          <w:i/>
          <w:iCs/>
          <w:color w:val="222222"/>
          <w:sz w:val="24"/>
          <w:szCs w:val="24"/>
        </w:rPr>
        <w:t> el Acuerdo de Clasificación de la información que apruebe el Comité de Transparencia con motivo de la versión pública</w:t>
      </w:r>
      <w:r w:rsidRPr="00BD63E7">
        <w:rPr>
          <w:rFonts w:ascii="Palatino Linotype" w:hAnsi="Palatino Linotype"/>
          <w:bCs/>
          <w:i/>
          <w:sz w:val="24"/>
          <w:szCs w:val="24"/>
        </w:rPr>
        <w:t>.”</w:t>
      </w:r>
    </w:p>
    <w:p w:rsidR="00964E10" w:rsidRPr="000921E9"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BD63E7">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BD63E7">
        <w:rPr>
          <w:rFonts w:ascii="Palatino Linotype" w:eastAsia="Times New Roman" w:hAnsi="Palatino Linotype" w:cs="Arial"/>
          <w:sz w:val="24"/>
        </w:rPr>
        <w:t xml:space="preserve">os </w:t>
      </w:r>
      <w:r w:rsidR="001A3506">
        <w:rPr>
          <w:rFonts w:ascii="Palatino Linotype" w:eastAsia="Times New Roman" w:hAnsi="Palatino Linotype" w:cs="Arial"/>
          <w:sz w:val="24"/>
        </w:rPr>
        <w:t xml:space="preserve"> </w:t>
      </w:r>
      <w:r w:rsidR="00BD63E7">
        <w:rPr>
          <w:rFonts w:ascii="Palatino Linotype" w:eastAsia="Times New Roman" w:hAnsi="Palatino Linotype" w:cs="Arial"/>
          <w:sz w:val="24"/>
        </w:rPr>
        <w:t>incisos b) c) y d)</w:t>
      </w:r>
      <w:r w:rsidR="0041189B">
        <w:rPr>
          <w:rFonts w:ascii="Palatino Linotype" w:eastAsia="Times New Roman" w:hAnsi="Palatino Linotype" w:cs="Arial"/>
          <w:sz w:val="24"/>
        </w:rPr>
        <w:t>:</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b) Las cédulas profesionales o el documento o documentos en donde conste el número de cédulas profesionales del personal adscrito al 27 de septiembre de 2018.</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Respecto de los servidores públicos que no obren los documentos que se ordenan deberá de referirlo.</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c) El documento o documentos donde conste la revisión de bases por parte de la Contraloría Interna Municipal de las compras superiores a $200,000.00 (Dos cientos mil pesos 00/100 M.N.) durante el periodo comprendido del 16 de enero 2016 al 27 de septiembre 2018. Para el caso de que no obre en sus archivos, deberá informarlo al respecto.</w:t>
      </w:r>
    </w:p>
    <w:p w:rsidR="00BD63E7" w:rsidRPr="00BD63E7" w:rsidRDefault="00BD63E7" w:rsidP="00BD63E7">
      <w:pPr>
        <w:pStyle w:val="Prrafodelista"/>
        <w:tabs>
          <w:tab w:val="left" w:pos="8222"/>
        </w:tabs>
        <w:spacing w:line="360" w:lineRule="auto"/>
        <w:ind w:left="360" w:right="899"/>
        <w:jc w:val="both"/>
        <w:rPr>
          <w:rFonts w:ascii="Palatino Linotype" w:hAnsi="Palatino Linotype" w:cs="Arial"/>
          <w:i/>
          <w:sz w:val="24"/>
          <w:szCs w:val="24"/>
        </w:rPr>
      </w:pPr>
      <w:r w:rsidRPr="00BD63E7">
        <w:rPr>
          <w:rFonts w:ascii="Palatino Linotype" w:hAnsi="Palatino Linotype" w:cs="Arial"/>
          <w:i/>
          <w:sz w:val="24"/>
          <w:szCs w:val="24"/>
        </w:rPr>
        <w:t>d) Los documentos que avalen la trayectoria laboral y académica referida en los currículums del Contralor Interno Municipal y los integrantes del Ayuntamiento de Toluca. Para el caso de no obrar en sus archivos, deberá referirlo al particular al dar cumplimiento a la presente.</w:t>
      </w:r>
    </w:p>
    <w:p w:rsidR="00964E10" w:rsidRP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558451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558451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0921E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6" w:name="_Toc535584513"/>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5D0248" w:rsidRPr="00427B79" w:rsidRDefault="005D0248"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3EE5">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3EE5">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3E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3E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D3E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4"/>
  </w:num>
  <w:num w:numId="4">
    <w:abstractNumId w:val="28"/>
  </w:num>
  <w:num w:numId="5">
    <w:abstractNumId w:val="1"/>
  </w:num>
  <w:num w:numId="6">
    <w:abstractNumId w:val="2"/>
  </w:num>
  <w:num w:numId="7">
    <w:abstractNumId w:val="13"/>
  </w:num>
  <w:num w:numId="8">
    <w:abstractNumId w:val="16"/>
  </w:num>
  <w:num w:numId="9">
    <w:abstractNumId w:val="24"/>
  </w:num>
  <w:num w:numId="10">
    <w:abstractNumId w:val="14"/>
  </w:num>
  <w:num w:numId="11">
    <w:abstractNumId w:val="19"/>
  </w:num>
  <w:num w:numId="12">
    <w:abstractNumId w:val="8"/>
  </w:num>
  <w:num w:numId="13">
    <w:abstractNumId w:val="30"/>
  </w:num>
  <w:num w:numId="14">
    <w:abstractNumId w:val="29"/>
  </w:num>
  <w:num w:numId="15">
    <w:abstractNumId w:val="3"/>
  </w:num>
  <w:num w:numId="16">
    <w:abstractNumId w:val="12"/>
  </w:num>
  <w:num w:numId="17">
    <w:abstractNumId w:val="7"/>
  </w:num>
  <w:num w:numId="18">
    <w:abstractNumId w:val="9"/>
  </w:num>
  <w:num w:numId="19">
    <w:abstractNumId w:val="18"/>
  </w:num>
  <w:num w:numId="20">
    <w:abstractNumId w:val="6"/>
  </w:num>
  <w:num w:numId="21">
    <w:abstractNumId w:val="11"/>
  </w:num>
  <w:num w:numId="22">
    <w:abstractNumId w:val="26"/>
  </w:num>
  <w:num w:numId="23">
    <w:abstractNumId w:val="17"/>
  </w:num>
  <w:num w:numId="24">
    <w:abstractNumId w:val="5"/>
  </w:num>
  <w:num w:numId="25">
    <w:abstractNumId w:val="27"/>
  </w:num>
  <w:num w:numId="26">
    <w:abstractNumId w:val="20"/>
  </w:num>
  <w:num w:numId="27">
    <w:abstractNumId w:val="23"/>
  </w:num>
  <w:num w:numId="28">
    <w:abstractNumId w:val="15"/>
  </w:num>
  <w:num w:numId="29">
    <w:abstractNumId w:val="25"/>
  </w:num>
  <w:num w:numId="30">
    <w:abstractNumId w:val="31"/>
  </w:num>
  <w:num w:numId="31">
    <w:abstractNumId w:val="10"/>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777F1"/>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D63E7"/>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83D11"/>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DA9B-6A15-440C-8FEB-C37F2495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29</Pages>
  <Words>5874</Words>
  <Characters>32313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2019-01-18T20:21:00Z</cp:lastPrinted>
  <dcterms:created xsi:type="dcterms:W3CDTF">2019-01-10T22:09:00Z</dcterms:created>
  <dcterms:modified xsi:type="dcterms:W3CDTF">2019-01-18T20:23:00Z</dcterms:modified>
</cp:coreProperties>
</file>